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52" w:lineRule="auto"/>
        <w:ind w:firstLine="709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</w:p>
    <w:p>
      <w:pPr>
        <w:spacing w:after="0" w:line="252" w:lineRule="auto"/>
        <w:ind w:firstLine="709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</w:p>
    <w:p>
      <w:pPr>
        <w:spacing w:after="0" w:line="252" w:lineRule="auto"/>
        <w:ind w:firstLine="709"/>
        <w:jc w:val="right"/>
        <w:rPr>
          <w:rFonts w:ascii="Times New Roman" w:hAnsi="Times New Roman"/>
          <w:sz w:val="16"/>
          <w:szCs w:val="16"/>
        </w:rPr>
      </w:pPr>
    </w:p>
    <w:p>
      <w:pPr>
        <w:spacing w:after="0" w:line="252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</w:p>
    <w:p>
      <w:pPr>
        <w:pStyle w:val="110"/>
        <w:spacing w:before="0" w:after="0" w:line="252" w:lineRule="auto"/>
        <w:ind w:firstLine="0"/>
        <w:rPr>
          <w:rFonts w:ascii="Times New Roman" w:hAnsi="Times New Roman" w:cs="Times New Roman"/>
          <w:b w:val="0"/>
          <w:sz w:val="16"/>
          <w:szCs w:val="16"/>
        </w:rPr>
      </w:pPr>
    </w:p>
    <w:p>
      <w:pPr>
        <w:spacing w:after="0" w:line="252" w:lineRule="auto"/>
        <w:rPr>
          <w:rFonts w:ascii="Times New Roman" w:hAnsi="Times New Roman"/>
          <w:sz w:val="16"/>
          <w:szCs w:val="16"/>
          <w:lang w:eastAsia="ru-RU"/>
        </w:rPr>
      </w:pPr>
    </w:p>
    <w:p>
      <w:pPr>
        <w:pStyle w:val="110"/>
        <w:spacing w:before="0" w:after="0" w:line="252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</w:p>
    <w:p>
      <w:pPr>
        <w:pStyle w:val="110"/>
        <w:spacing w:before="0" w:after="0" w:line="252" w:lineRule="auto"/>
        <w:ind w:firstLine="0"/>
        <w:jc w:val="center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</w:p>
    <w:p>
      <w:pPr>
        <w:widowControl w:val="off"/>
        <w:spacing w:after="0" w:line="252" w:lineRule="auto"/>
        <w:jc w:val="center"/>
        <w:rPr>
          <w:rFonts w:ascii="Times New Roman" w:hAnsi="Times New Roman"/>
          <w:bCs/>
          <w:sz w:val="16"/>
          <w:szCs w:val="16"/>
        </w:rPr>
      </w:pPr>
    </w:p>
    <w:p>
      <w:pPr>
        <w:widowControl w:val="off"/>
        <w:spacing w:after="0" w:line="252" w:lineRule="auto"/>
        <w:jc w:val="center"/>
        <w:rPr>
          <w:rFonts w:ascii="Times New Roman" w:hAnsi="Times New Roman"/>
          <w:bCs/>
          <w:sz w:val="16"/>
          <w:szCs w:val="16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О внесении изменения в статью 5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Закона Новосибирской области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b/>
          <w:sz w:val="28"/>
          <w:szCs w:val="28"/>
        </w:rPr>
        <w:t xml:space="preserve">Об обороте земель сельскохозяйственного назначения на территории Новосибирской области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»</w:t>
      </w:r>
    </w:p>
    <w:p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Par47"/>
      <w:bookmarkEnd w:id="0"/>
      <w:r>
        <w:rPr>
          <w:rFonts w:ascii="Times New Roman" w:hAnsi="Times New Roman"/>
          <w:b/>
          <w:sz w:val="28"/>
          <w:szCs w:val="28"/>
        </w:rPr>
        <w:t xml:space="preserve">Статья 1</w:t>
      </w:r>
    </w:p>
    <w:p>
      <w:pPr>
        <w:pStyle w:val="ConsPlusNormal"/>
        <w:ind w:firstLine="709"/>
        <w:jc w:val="both"/>
        <w:rPr>
          <w:rFonts w:ascii="Times New Roman" w:hAnsi="Times New Roman"/>
          <w:sz w:val="16"/>
          <w:szCs w:val="16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Внести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  <w:lang w:eastAsia="ru-RU"/>
        </w:rPr>
        <w:t xml:space="preserve">под</w:t>
      </w:r>
      <w:r>
        <w:rPr>
          <w:rFonts w:ascii="Times New Roman" w:hAnsi="Times New Roman"/>
          <w:sz w:val="28"/>
          <w:szCs w:val="28"/>
          <w:lang w:eastAsia="ru-RU"/>
        </w:rPr>
        <w:t xml:space="preserve">пункт 3 </w:t>
      </w:r>
      <w:r>
        <w:rPr>
          <w:rFonts w:ascii="Times New Roman" w:hAnsi="Times New Roman"/>
          <w:sz w:val="28"/>
          <w:szCs w:val="28"/>
          <w:lang w:eastAsia="ru-RU"/>
        </w:rPr>
        <w:t xml:space="preserve">пункта</w:t>
      </w:r>
      <w:r>
        <w:rPr>
          <w:rFonts w:ascii="Times New Roman" w:hAnsi="Times New Roman"/>
          <w:sz w:val="28"/>
          <w:szCs w:val="28"/>
          <w:lang w:eastAsia="ru-RU"/>
        </w:rPr>
        <w:t xml:space="preserve"> 1 статьи 5 Закона Новосибирской области от 30 декабря 2003 года № 162-ОЗ «Об обороте земель сельскохозяйственного назначения на территории Новосибирской области» (с изменениями, внесенными Законами Новосибирской области </w:t>
      </w:r>
      <w:hyperlink r:id="rId10" w:tooltip="garantF1://7046902.0" w:history="1">
        <w:r>
          <w:rPr>
            <w:rFonts w:ascii="Times New Roman" w:hAnsi="Times New Roman"/>
            <w:sz w:val="28"/>
            <w:szCs w:val="28"/>
            <w:lang w:eastAsia="ru-RU"/>
          </w:rPr>
          <w:t xml:space="preserve">от 14 марта 2005 года № 276-ОЗ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1" w:tooltip="garantF1://7060448.0" w:history="1">
        <w:r>
          <w:rPr>
            <w:rFonts w:ascii="Times New Roman" w:hAnsi="Times New Roman"/>
            <w:sz w:val="28"/>
            <w:szCs w:val="28"/>
            <w:lang w:eastAsia="ru-RU"/>
          </w:rPr>
          <w:t xml:space="preserve">от 26 сентября 2005 года № 324-ОЗ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2" w:tooltip="garantF1://7061494.0" w:history="1">
        <w:r>
          <w:rPr>
            <w:rFonts w:ascii="Times New Roman" w:hAnsi="Times New Roman"/>
            <w:sz w:val="28"/>
            <w:szCs w:val="28"/>
            <w:lang w:eastAsia="ru-RU"/>
          </w:rPr>
          <w:t xml:space="preserve">от 19 октября 2006 года № 33-ОЗ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3" w:tooltip="garantF1://7062852.0" w:history="1">
        <w:r>
          <w:rPr>
            <w:rFonts w:ascii="Times New Roman" w:hAnsi="Times New Roman"/>
            <w:sz w:val="28"/>
            <w:szCs w:val="28"/>
            <w:lang w:eastAsia="ru-RU"/>
          </w:rPr>
          <w:t xml:space="preserve">от 14 апреля 2007 года № 101-ОЗ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4" w:tooltip="garantF1://7036550.0" w:history="1">
        <w:r>
          <w:rPr>
            <w:rFonts w:ascii="Times New Roman" w:hAnsi="Times New Roman"/>
            <w:sz w:val="28"/>
            <w:szCs w:val="28"/>
            <w:lang w:eastAsia="ru-RU"/>
          </w:rPr>
          <w:t xml:space="preserve">от 13 октября 2008 года № 271-ОЗ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5" w:tooltip="garantF1://7044598.0" w:history="1">
        <w:r>
          <w:rPr>
            <w:rFonts w:ascii="Times New Roman" w:hAnsi="Times New Roman"/>
            <w:sz w:val="28"/>
            <w:szCs w:val="28"/>
            <w:lang w:eastAsia="ru-RU"/>
          </w:rPr>
          <w:t xml:space="preserve">от 2 февраля 2009 года № 308-ОЗ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6" w:tooltip="garantF1://7050558.0" w:history="1">
        <w:r>
          <w:rPr>
            <w:rFonts w:ascii="Times New Roman" w:hAnsi="Times New Roman"/>
            <w:sz w:val="28"/>
            <w:szCs w:val="28"/>
            <w:lang w:eastAsia="ru-RU"/>
          </w:rPr>
          <w:t xml:space="preserve">от 2 июля 2009 года № 361-ОЗ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7" w:tooltip="garantF1://7002924.0" w:history="1">
        <w:r>
          <w:rPr>
            <w:rFonts w:ascii="Times New Roman" w:hAnsi="Times New Roman"/>
            <w:sz w:val="28"/>
            <w:szCs w:val="28"/>
            <w:lang w:eastAsia="ru-RU"/>
          </w:rPr>
          <w:t xml:space="preserve">от 7 июля 2011 года № 93-ОЗ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8" w:tooltip="garantF1://7125118.0" w:history="1">
        <w:r>
          <w:rPr>
            <w:rFonts w:ascii="Times New Roman" w:hAnsi="Times New Roman"/>
            <w:sz w:val="28"/>
            <w:szCs w:val="28"/>
            <w:lang w:eastAsia="ru-RU"/>
          </w:rPr>
          <w:t xml:space="preserve">от 7 ноября 2012 года № 262-ОЗ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9" w:tooltip="garantF1://7129826.0" w:history="1">
        <w:r>
          <w:rPr>
            <w:rFonts w:ascii="Times New Roman" w:hAnsi="Times New Roman"/>
            <w:sz w:val="28"/>
            <w:szCs w:val="28"/>
            <w:lang w:eastAsia="ru-RU"/>
          </w:rPr>
          <w:t xml:space="preserve">от 5 июня 2013 года № 334-ОЗ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от 28 ноября 2013 года № 400-ОЗ, </w:t>
      </w:r>
      <w:hyperlink r:id="rId20" w:tooltip="garantF1://7146674.0" w:history="1">
        <w:r>
          <w:rPr>
            <w:rFonts w:ascii="Times New Roman" w:hAnsi="Times New Roman"/>
            <w:sz w:val="28"/>
            <w:szCs w:val="28"/>
            <w:lang w:eastAsia="ru-RU"/>
          </w:rPr>
          <w:t xml:space="preserve">от 19 ноября 2014 года № 491-ОЗ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от 24 ноября 2014 года № 492-ОЗ, от 19 декабря 2016 года № 125-ОЗ, от 7 мая 2018 года № 260-ОЗ, от 30 ноября 2018 года № 307-ОЗ, от 10 ноября 2020 года № 6</w:t>
      </w:r>
      <w:r>
        <w:rPr>
          <w:rFonts w:ascii="Times New Roman" w:hAnsi="Times New Roman"/>
          <w:sz w:val="28"/>
          <w:szCs w:val="28"/>
          <w:lang w:eastAsia="ru-RU"/>
        </w:rPr>
        <w:noBreakHyphen/>
        <w:t xml:space="preserve">ОЗ, от 5 октября 2021 года № 112-ОЗ, от 10 февраля 2022 года № 172-ОЗ, от 6 мая 2022 года № 202-ОЗ, от 14 июля 2022 года № 227-ОЗ, от 29 ноября 2022 года № 278-ОЗ, от 27 апреля 2023 года № 332-ОЗ, от 4 октября 2023 года № 375-ОЗ, от 5 июня 2024 года № 455-ОЗ, от 5 февраля 2025 года № 554-ОЗ) изменение, дополнив словами «, в том числе вследствие непроведения мероприятий по защите земель от распространения опасных видов инвазивных (чужеродных) растений и уничтожению таких растений».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26282f"/>
          <w:sz w:val="16"/>
          <w:szCs w:val="16"/>
          <w:lang w:eastAsia="ru-RU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 xml:space="preserve">Статья 2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Cs/>
          <w:color w:val="26282f"/>
          <w:sz w:val="16"/>
          <w:szCs w:val="16"/>
          <w:lang w:eastAsia="ru-RU"/>
        </w:rPr>
      </w:pPr>
    </w:p>
    <w:p>
      <w:pPr>
        <w:widowControl w:val="off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Настоящий Закон вступает в силу с </w:t>
      </w:r>
      <w:r>
        <w:rPr>
          <w:rFonts w:ascii="Times New Roman" w:hAnsi="Times New Roman"/>
          <w:sz w:val="28"/>
          <w:szCs w:val="28"/>
        </w:rPr>
        <w:t xml:space="preserve">1 марта 2026 года.</w:t>
      </w:r>
    </w:p>
    <w:p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>
      <w:pPr>
        <w:widowControl w:val="off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</w:p>
    <w:p>
      <w:pPr>
        <w:widowControl w:val="off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А.А. Травников</w:t>
      </w:r>
    </w:p>
    <w:p>
      <w:pPr>
        <w:widowControl w:val="off"/>
        <w:spacing w:after="0" w:line="252" w:lineRule="auto"/>
        <w:jc w:val="both"/>
        <w:rPr>
          <w:rFonts w:ascii="Times New Roman" w:hAnsi="Times New Roman"/>
          <w:sz w:val="16"/>
          <w:szCs w:val="16"/>
        </w:rPr>
      </w:pPr>
    </w:p>
    <w:p>
      <w:pPr>
        <w:widowControl w:val="off"/>
        <w:spacing w:after="0" w:line="252" w:lineRule="auto"/>
        <w:jc w:val="both"/>
        <w:rPr>
          <w:rFonts w:ascii="Times New Roman" w:hAnsi="Times New Roman"/>
          <w:sz w:val="16"/>
          <w:szCs w:val="16"/>
        </w:rPr>
      </w:pPr>
    </w:p>
    <w:p>
      <w:pPr>
        <w:widowControl w:val="off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</w:p>
    <w:p>
      <w:pPr>
        <w:widowControl w:val="off"/>
        <w:spacing w:after="0" w:line="252" w:lineRule="auto"/>
        <w:jc w:val="both"/>
        <w:rPr>
          <w:rFonts w:ascii="Times New Roman" w:hAnsi="Times New Roman"/>
          <w:sz w:val="16"/>
          <w:szCs w:val="16"/>
        </w:rPr>
      </w:pPr>
    </w:p>
    <w:p>
      <w:pPr>
        <w:widowControl w:val="off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_____________2025 г.</w:t>
      </w:r>
    </w:p>
    <w:p>
      <w:pPr>
        <w:spacing w:after="0" w:line="25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№_________________ </w:t>
      </w:r>
      <w:r>
        <w:rPr>
          <w:rFonts w:ascii="Times New Roman" w:hAnsi="Times New Roman"/>
          <w:sz w:val="28"/>
          <w:szCs w:val="28"/>
        </w:rPr>
        <w:noBreakHyphen/>
        <w:t xml:space="preserve">ОЗ</w:t>
      </w:r>
    </w:p>
    <w:sectPr>
      <w:headerReference w:type="default" r:id="rId9"/>
      <w:pgSz w:w="11905" w:h="16838"/>
      <w:pgMar w:top="1135" w:right="567" w:bottom="1135" w:left="1418" w:header="720" w:footer="720" w:gutter="0"/>
      <w:cols w:space="720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"/>
      <w:spacing w:after="0" w:line="240" w:lineRule="auto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</w:p>
  <w:p>
    <w:pPr>
      <w:pStyle w:val="13"/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94FE56E4">
      <w:start w:val="1"/>
      <w:numFmt w:val="decimal"/>
      <w:lvlText w:val="%1)"/>
      <w:lvlJc w:val="left"/>
      <w:pPr>
        <w:ind w:left="1065" w:hanging="360"/>
      </w:pPr>
      <w:rPr>
        <w:rFonts w:hint="default" w:cs="Times New Roman"/>
      </w:rPr>
    </w:lvl>
    <w:lvl w:ilvl="1" w:tplc="F58EE964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543287D4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3A24CC56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B2B414D4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7EF4EC0C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A1E69B8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3CD06F2A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3B48ACD8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multiLevelType w:val="hybridMultilevel"/>
    <w:lvl w:ilvl="0" w:tplc="27EE1792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C178B6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26D44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614D97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CC59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85E90C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BD232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1EA95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3EEED0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 w:tplc="55B44FD6">
      <w:start w:val="1"/>
      <w:numFmt w:val="decimal"/>
      <w:lvlText w:val="%1."/>
      <w:lvlJc w:val="left"/>
      <w:pPr>
        <w:ind w:left="1705" w:hanging="996"/>
      </w:pPr>
      <w:rPr>
        <w:rFonts w:hint="default" w:cs="Times New Roman"/>
      </w:rPr>
    </w:lvl>
    <w:lvl w:ilvl="1" w:tplc="3466858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133E8FAC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5A6A04BC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9D230D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FDA965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985215F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2A3CAF1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85E8756E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multiLevelType w:val="hybridMultilevel"/>
    <w:lvl w:ilvl="0" w:tplc="2FD0A0DE">
      <w:start w:val="1"/>
      <w:numFmt w:val="decimal"/>
      <w:lvlText w:val="%1."/>
      <w:legacy w:legacy="1" w:legacyIndent="633" w:legacySpace="0"/>
      <w:lvlJc w:val="left"/>
      <w:rPr>
        <w:rFonts w:hint="default" w:ascii="Times New Roman" w:hAnsi="Times New Roman" w:cs="Times New Roman"/>
      </w:rPr>
    </w:lvl>
    <w:lvl w:ilvl="1" w:tplc="EAA422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plc="03680A98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plc="B0BEE13A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plc="03C4E2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plc="F0E6425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plc="8D3844E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plc="D76E4E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plc="A126A702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 w:tplc="F7D8B546">
      <w:start w:val="1"/>
      <w:numFmt w:val="decimal"/>
      <w:lvlText w:val="%1)"/>
      <w:lvlJc w:val="left"/>
      <w:pPr>
        <w:ind w:left="900" w:hanging="360"/>
      </w:pPr>
      <w:rPr>
        <w:rFonts w:hint="default" w:cs="Times New Roman"/>
      </w:rPr>
    </w:lvl>
    <w:lvl w:ilvl="1" w:tplc="E890852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49304476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D236EC02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B97E96E6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7FB025BC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F8C2C06E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EE7CBA2C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BB4A9F32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multiLevelType w:val="hybridMultilevel"/>
    <w:lvl w:ilvl="0" w:tplc="2746FA0C">
      <w:start w:val="1"/>
      <w:numFmt w:val="decimal"/>
      <w:lvlText w:val="%1)"/>
      <w:lvlJc w:val="left"/>
      <w:pPr>
        <w:ind w:left="1069" w:hanging="360"/>
      </w:pPr>
      <w:rPr>
        <w:rFonts w:hint="default" w:cs="Times New Roman"/>
      </w:rPr>
    </w:lvl>
    <w:lvl w:ilvl="1" w:tplc="212C1290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5ABEA18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8CF0473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2F16D7E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D8CC8DF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C1C64B4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A4143FDC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3CD06D7A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multiLevelType w:val="hybridMultilevel"/>
    <w:lvl w:ilvl="0" w:tplc="9C0600FE">
      <w:start w:val="1"/>
      <w:numFmt w:val="decimal"/>
      <w:lvlText w:val="%1)"/>
      <w:legacy w:legacy="1" w:legacyIndent="303" w:legacySpace="0"/>
      <w:lvlJc w:val="left"/>
      <w:rPr>
        <w:rFonts w:hint="default" w:ascii="Times New Roman" w:hAnsi="Times New Roman" w:cs="Times New Roman"/>
      </w:rPr>
    </w:lvl>
    <w:lvl w:ilvl="1" w:tplc="5D2E1B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plc="2F16BCB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plc="4DB477D2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plc="323A65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plc="9572D6D8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plc="D1DECD9E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plc="CC08C6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plc="5E487EA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Times New Roman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TitleChar" w:customStyle="1">
    <w:name w:val="Title Char"/>
    <w:basedOn w:val="a0"/>
    <w:uiPriority w:val="10"/>
    <w:rPr>
      <w:sz w:val="48"/>
      <w:szCs w:val="48"/>
    </w:rPr>
  </w:style>
  <w:style w:type="character" w:styleId="SubtitleChar" w:customStyle="1">
    <w:name w:val="Subtitle Char"/>
    <w:basedOn w:val="a0"/>
    <w:uiPriority w:val="11"/>
    <w:rPr>
      <w:sz w:val="24"/>
      <w:szCs w:val="24"/>
    </w:rPr>
  </w:style>
  <w:style w:type="character" w:styleId="QuoteChar" w:customStyle="1">
    <w:name w:val="Quote Char"/>
    <w:uiPriority w:val="29"/>
    <w:rPr>
      <w:i/>
    </w:rPr>
  </w:style>
  <w:style w:type="character" w:styleId="IntenseQuoteChar" w:customStyle="1">
    <w:name w:val="Intense Quote Char"/>
    <w:uiPriority w:val="30"/>
    <w:rPr>
      <w:i/>
    </w:rPr>
  </w:style>
  <w:style w:type="character" w:styleId="FootnoteTextChar" w:customStyle="1">
    <w:name w:val="Footnote Text Char"/>
    <w:uiPriority w:val="99"/>
    <w:rPr>
      <w:sz w:val="18"/>
    </w:rPr>
  </w:style>
  <w:style w:type="character" w:styleId="EndnoteTextChar" w:customStyle="1">
    <w:name w:val="Endnote Text Char"/>
    <w:uiPriority w:val="99"/>
    <w:rPr>
      <w:sz w:val="20"/>
    </w:rPr>
  </w:style>
  <w:style w:type="character" w:styleId="Heading1Char" w:customStyle="1">
    <w:name w:val="Heading 1 Char"/>
    <w:basedOn w:val="a0"/>
    <w:uiPriority w:val="9"/>
    <w:rPr>
      <w:rFonts w:ascii="Arial" w:hAnsi="Arial" w:eastAsia="Arial" w:cs="Arial"/>
      <w:sz w:val="40"/>
      <w:szCs w:val="40"/>
    </w:rPr>
  </w:style>
  <w:style w:type="paragraph" w:styleId="21" w:customStyle="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character" w:styleId="Heading2Char" w:customStyle="1">
    <w:name w:val="Heading 2 Char"/>
    <w:basedOn w:val="a0"/>
    <w:link w:val="21"/>
    <w:uiPriority w:val="9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a0"/>
    <w:uiPriority w:val="9"/>
    <w:rPr>
      <w:rFonts w:ascii="Arial" w:hAnsi="Arial" w:eastAsia="Arial" w:cs="Arial"/>
      <w:sz w:val="30"/>
      <w:szCs w:val="30"/>
    </w:rPr>
  </w:style>
  <w:style w:type="paragraph" w:styleId="41" w:customStyle="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Heading4Char" w:customStyle="1">
    <w:name w:val="Heading 4 Char"/>
    <w:basedOn w:val="a0"/>
    <w:link w:val="41"/>
    <w:uiPriority w:val="9"/>
    <w:rPr>
      <w:rFonts w:ascii="Arial" w:hAnsi="Arial" w:eastAsia="Arial" w:cs="Arial"/>
      <w:b/>
      <w:bCs/>
      <w:sz w:val="26"/>
      <w:szCs w:val="26"/>
    </w:rPr>
  </w:style>
  <w:style w:type="paragraph" w:styleId="51" w:customStyle="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Heading5Char" w:customStyle="1">
    <w:name w:val="Heading 5 Char"/>
    <w:basedOn w:val="a0"/>
    <w:link w:val="51"/>
    <w:uiPriority w:val="9"/>
    <w:rPr>
      <w:rFonts w:ascii="Arial" w:hAnsi="Arial" w:eastAsia="Arial" w:cs="Arial"/>
      <w:b/>
      <w:bCs/>
      <w:sz w:val="24"/>
      <w:szCs w:val="24"/>
    </w:rPr>
  </w:style>
  <w:style w:type="paragraph" w:styleId="61" w:customStyle="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character" w:styleId="Heading6Char" w:customStyle="1">
    <w:name w:val="Heading 6 Char"/>
    <w:basedOn w:val="a0"/>
    <w:link w:val="61"/>
    <w:uiPriority w:val="9"/>
    <w:rPr>
      <w:rFonts w:ascii="Arial" w:hAnsi="Arial" w:eastAsia="Arial" w:cs="Arial"/>
      <w:b/>
      <w:bCs/>
      <w:sz w:val="22"/>
      <w:szCs w:val="22"/>
    </w:rPr>
  </w:style>
  <w:style w:type="paragraph" w:styleId="71" w:customStyle="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Heading7Char" w:customStyle="1">
    <w:name w:val="Heading 7 Char"/>
    <w:basedOn w:val="a0"/>
    <w:link w:val="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" w:customStyle="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character" w:styleId="Heading8Char" w:customStyle="1">
    <w:name w:val="Heading 8 Char"/>
    <w:basedOn w:val="a0"/>
    <w:link w:val="81"/>
    <w:uiPriority w:val="9"/>
    <w:rPr>
      <w:rFonts w:ascii="Arial" w:hAnsi="Arial" w:eastAsia="Arial" w:cs="Arial"/>
      <w:i/>
      <w:iCs/>
      <w:sz w:val="22"/>
      <w:szCs w:val="22"/>
    </w:rPr>
  </w:style>
  <w:style w:type="paragraph" w:styleId="91" w:customStyle="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9Char" w:customStyle="1">
    <w:name w:val="Heading 9 Char"/>
    <w:basedOn w:val="a0"/>
    <w:link w:val="91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styleId="a5" w:customStyle="1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styleId="a7" w:customStyle="1">
    <w:name w:val="Подзаголовок Знак"/>
    <w:basedOn w:val="a0"/>
    <w:link w:val="a6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styleId="20" w:customStyle="1">
    <w:name w:val="Цитата 2 Знак"/>
    <w:link w:val="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9" w:customStyle="1">
    <w:name w:val="Выделенная цитата Знак"/>
    <w:link w:val="a8"/>
    <w:uiPriority w:val="30"/>
    <w:rPr>
      <w:i/>
    </w:rPr>
  </w:style>
  <w:style w:type="character" w:styleId="HeaderChar" w:customStyle="1">
    <w:name w:val="Header Char"/>
    <w:basedOn w:val="a0"/>
    <w:uiPriority w:val="99"/>
  </w:style>
  <w:style w:type="character" w:styleId="FooterChar" w:customStyle="1">
    <w:name w:val="Footer Char"/>
    <w:basedOn w:val="a0"/>
    <w:uiPriority w:val="99"/>
  </w:style>
  <w:style w:type="paragraph" w:styleId="1" w:customStyle="1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CaptionChar" w:customStyle="1">
    <w:name w:val="Caption Char"/>
    <w:uiPriority w:val="99"/>
  </w:style>
  <w:style w:type="table" w:styleId="aa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Light" w:customStyle="1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" w:customStyle="1">
    <w:name w:val="Таблица простая 1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1Horz">
      <w:tcPr>
        <w:shd w:val="clear" w:color="ffffff" w:themeColor="text1" w:themeTint="00" w:fill="ffffff" w:themeFill="text1" w:themeFillTint="00"/>
      </w:tcPr>
    </w:tblStylePr>
  </w:style>
  <w:style w:type="table" w:styleId="210" w:customStyle="1">
    <w:name w:val="Таблица простая 21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 w:customStyle="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410" w:customStyle="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510" w:customStyle="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-11" w:customStyle="1">
    <w:name w:val="Таблица-сетка 1 светлая1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-21" w:customStyle="1">
    <w:name w:val="Таблица-сетка 21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31" w:customStyle="1">
    <w:name w:val="Таблица-сетка 31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41" w:customStyle="1">
    <w:name w:val="Таблица-сетка 41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51" w:customStyle="1">
    <w:name w:val="Таблица-сетка 5 темная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-61" w:customStyle="1">
    <w:name w:val="Таблица-сетка 6 цветная1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1" w:customStyle="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10" w:customStyle="1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-210" w:customStyle="1">
    <w:name w:val="Список-таблица 21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310" w:customStyle="1">
    <w:name w:val="Список-таблица 31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-410" w:customStyle="1">
    <w:name w:val="Список-таблица 41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510" w:customStyle="1">
    <w:name w:val="Список-таблица 5 темная1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-610" w:customStyle="1">
    <w:name w:val="Список-таблица 6 цветная1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10" w:customStyle="1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Lined-Accent1" w:customStyle="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BorderedLined-Accent1" w:customStyle="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styleId="ad" w:customStyle="1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styleId="af0" w:customStyle="1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110" w:customStyle="1">
    <w:name w:val="Заголовок 11"/>
    <w:basedOn w:val="a"/>
    <w:next w:val="a"/>
    <w:link w:val="12"/>
    <w:uiPriority w:val="99"/>
    <w:qFormat/>
    <w:pPr>
      <w:keepNext/>
      <w:widowControl w:val="off"/>
      <w:spacing w:before="240" w:after="60" w:line="260" w:lineRule="auto"/>
      <w:ind w:firstLine="600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310" w:customStyle="1">
    <w:name w:val="Заголовок 31"/>
    <w:basedOn w:val="a"/>
    <w:next w:val="a"/>
    <w:link w:val="30"/>
    <w:uiPriority w:val="99"/>
    <w:qFormat/>
    <w:pPr>
      <w:keepNext/>
      <w:spacing w:after="0" w:line="240" w:lineRule="auto"/>
      <w:jc w:val="center"/>
      <w:outlineLvl w:val="2"/>
    </w:pPr>
    <w:rPr>
      <w:b/>
      <w:bCs/>
      <w:sz w:val="24"/>
      <w:szCs w:val="24"/>
      <w:lang w:eastAsia="ru-RU"/>
    </w:rPr>
  </w:style>
  <w:style w:type="character" w:styleId="12" w:customStyle="1">
    <w:name w:val="Заголовок 1 Знак"/>
    <w:link w:val="110"/>
    <w:uiPriority w:val="99"/>
    <w:rPr>
      <w:rFonts w:ascii="Arial" w:hAnsi="Arial" w:cs="Times New Roman"/>
      <w:b/>
      <w:sz w:val="32"/>
    </w:rPr>
  </w:style>
  <w:style w:type="character" w:styleId="30" w:customStyle="1">
    <w:name w:val="Заголовок 3 Знак"/>
    <w:link w:val="310"/>
    <w:uiPriority w:val="99"/>
    <w:rPr>
      <w:rFonts w:ascii="Times New Roman" w:hAnsi="Times New Roman" w:cs="Times New Roman"/>
      <w:b/>
      <w:sz w:val="24"/>
    </w:rPr>
  </w:style>
  <w:style w:type="paragraph" w:styleId="ConsPlusNonformat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af4">
    <w:name w:val="Body Text"/>
    <w:basedOn w:val="a"/>
    <w:link w:val="af5"/>
    <w:uiPriority w:val="99"/>
    <w:pPr>
      <w:spacing w:after="0" w:line="240" w:lineRule="auto"/>
      <w:jc w:val="both"/>
    </w:pPr>
    <w:rPr>
      <w:sz w:val="24"/>
      <w:szCs w:val="24"/>
      <w:lang w:eastAsia="ru-RU"/>
    </w:rPr>
  </w:style>
  <w:style w:type="character" w:styleId="af5" w:customStyle="1">
    <w:name w:val="Основной текст Знак"/>
    <w:link w:val="af4"/>
    <w:uiPriority w:val="99"/>
    <w:rPr>
      <w:rFonts w:ascii="Times New Roman" w:hAnsi="Times New Roman" w:cs="Times New Roman"/>
      <w:sz w:val="24"/>
    </w:rPr>
  </w:style>
  <w:style w:type="paragraph" w:styleId="af6">
    <w:name w:val="Balloon Text"/>
    <w:basedOn w:val="a"/>
    <w:link w:val="af7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7" w:customStyle="1">
    <w:name w:val="Текст выноски Знак"/>
    <w:link w:val="af6"/>
    <w:uiPriority w:val="99"/>
    <w:semiHidden/>
    <w:rPr>
      <w:rFonts w:ascii="Tahoma" w:hAnsi="Tahoma" w:cs="Times New Roman"/>
      <w:sz w:val="16"/>
      <w:lang w:eastAsia="en-US"/>
    </w:rPr>
  </w:style>
  <w:style w:type="paragraph" w:styleId="13" w:customStyle="1">
    <w:name w:val="Верхний колонтитул1"/>
    <w:basedOn w:val="a"/>
    <w:link w:val="af8"/>
    <w:uiPriority w:val="99"/>
    <w:pPr>
      <w:tabs>
        <w:tab w:val="center" w:pos="4677"/>
        <w:tab w:val="right" w:pos="9355"/>
      </w:tabs>
    </w:pPr>
  </w:style>
  <w:style w:type="character" w:styleId="af8" w:customStyle="1">
    <w:name w:val="Верхний колонтитул Знак"/>
    <w:link w:val="13"/>
    <w:uiPriority w:val="99"/>
    <w:rPr>
      <w:rFonts w:cs="Times New Roman"/>
      <w:sz w:val="22"/>
      <w:lang w:eastAsia="en-US"/>
    </w:rPr>
  </w:style>
  <w:style w:type="paragraph" w:styleId="14" w:customStyle="1">
    <w:name w:val="Нижний колонтитул1"/>
    <w:basedOn w:val="a"/>
    <w:link w:val="af9"/>
    <w:uiPriority w:val="99"/>
    <w:pPr>
      <w:tabs>
        <w:tab w:val="center" w:pos="4677"/>
        <w:tab w:val="right" w:pos="9355"/>
      </w:tabs>
    </w:pPr>
  </w:style>
  <w:style w:type="character" w:styleId="af9" w:customStyle="1">
    <w:name w:val="Нижний колонтитул Знак"/>
    <w:link w:val="14"/>
    <w:uiPriority w:val="99"/>
    <w:rPr>
      <w:rFonts w:cs="Times New Roman"/>
      <w:sz w:val="22"/>
      <w:lang w:eastAsia="en-US"/>
    </w:rPr>
  </w:style>
  <w:style w:type="paragraph" w:styleId="ConsPlusNormal" w:customStyle="1">
    <w:name w:val="ConsPlusNormal"/>
    <w:uiPriority w:val="99"/>
    <w:rPr>
      <w:rFonts w:cs="Times New Roman"/>
      <w:sz w:val="28"/>
      <w:szCs w:val="28"/>
    </w:rPr>
  </w:style>
  <w:style w:type="paragraph" w:styleId="afa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afb">
    <w:name w:val="annotation reference"/>
    <w:uiPriority w:val="99"/>
    <w:semiHidden/>
    <w:rPr>
      <w:rFonts w:cs="Times New Roman"/>
      <w:sz w:val="16"/>
      <w:szCs w:val="16"/>
    </w:rPr>
  </w:style>
  <w:style w:type="paragraph" w:styleId="afc">
    <w:name w:val="annotation text"/>
    <w:basedOn w:val="a"/>
    <w:link w:val="afd"/>
    <w:uiPriority w:val="99"/>
    <w:semiHidden/>
    <w:pPr>
      <w:spacing w:line="240" w:lineRule="auto"/>
    </w:pPr>
    <w:rPr>
      <w:sz w:val="20"/>
      <w:szCs w:val="20"/>
    </w:rPr>
  </w:style>
  <w:style w:type="character" w:styleId="afd" w:customStyle="1">
    <w:name w:val="Текст примечания Знак"/>
    <w:link w:val="afc"/>
    <w:uiPriority w:val="99"/>
    <w:semiHidden/>
    <w:rPr>
      <w:rFonts w:cs="Times New Roman"/>
      <w:lang w:eastAsia="en-US"/>
    </w:rPr>
  </w:style>
  <w:style w:type="paragraph" w:styleId="afe">
    <w:name w:val="annotation subject"/>
    <w:basedOn w:val="afc"/>
    <w:next w:val="afc"/>
    <w:link w:val="aff"/>
    <w:uiPriority w:val="99"/>
    <w:semiHidden/>
    <w:rPr>
      <w:b/>
      <w:bCs/>
    </w:rPr>
  </w:style>
  <w:style w:type="character" w:styleId="aff" w:customStyle="1">
    <w:name w:val="Тема примечания Знак"/>
    <w:link w:val="afe"/>
    <w:uiPriority w:val="99"/>
    <w:semiHidden/>
    <w:rPr>
      <w:rFonts w:cs="Times New Roman"/>
      <w:b/>
      <w:bCs/>
      <w:lang w:eastAsia="en-US"/>
    </w:rPr>
  </w:style>
  <w:style w:type="paragraph" w:styleId="aff0">
    <w:name w:val="List Paragraph"/>
    <w:basedOn w:val="a"/>
    <w:uiPriority w:val="99"/>
    <w:qFormat/>
    <w:pPr>
      <w:ind w:left="720"/>
    </w:pPr>
  </w:style>
  <w:style w:type="paragraph" w:styleId="aff1" w:customStyle="1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garantF1://7046902.0" TargetMode="External"/><Relationship Id="rId11" Type="http://schemas.openxmlformats.org/officeDocument/2006/relationships/hyperlink" Target="garantF1://7060448.0" TargetMode="External"/><Relationship Id="rId12" Type="http://schemas.openxmlformats.org/officeDocument/2006/relationships/hyperlink" Target="garantF1://7061494.0" TargetMode="External"/><Relationship Id="rId13" Type="http://schemas.openxmlformats.org/officeDocument/2006/relationships/hyperlink" Target="garantF1://7062852.0" TargetMode="External"/><Relationship Id="rId14" Type="http://schemas.openxmlformats.org/officeDocument/2006/relationships/hyperlink" Target="garantF1://7036550.0" TargetMode="External"/><Relationship Id="rId15" Type="http://schemas.openxmlformats.org/officeDocument/2006/relationships/hyperlink" Target="garantF1://7044598.0" TargetMode="External"/><Relationship Id="rId16" Type="http://schemas.openxmlformats.org/officeDocument/2006/relationships/hyperlink" Target="garantF1://7050558.0" TargetMode="External"/><Relationship Id="rId17" Type="http://schemas.openxmlformats.org/officeDocument/2006/relationships/hyperlink" Target="garantF1://7002924.0" TargetMode="External"/><Relationship Id="rId18" Type="http://schemas.openxmlformats.org/officeDocument/2006/relationships/hyperlink" Target="garantF1://7125118.0" TargetMode="External"/><Relationship Id="rId19" Type="http://schemas.openxmlformats.org/officeDocument/2006/relationships/hyperlink" Target="garantF1://7129826.0" TargetMode="External"/><Relationship Id="rId20" Type="http://schemas.openxmlformats.org/officeDocument/2006/relationships/hyperlink" Target="garantF1://7146674.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2073</Characters>
  <CharactersWithSpaces>2432</CharactersWithSpaces>
  <Company>АГНОиПНО</Company>
  <DocSecurity>0</DocSecurity>
  <HyperlinksChanged>false</HyperlinksChanged>
  <Lines>17</Lines>
  <LinksUpToDate>false</LinksUpToDate>
  <Pages>1</Pages>
  <Paragraphs>4</Paragraphs>
  <ScaleCrop>false</ScaleCrop>
  <SharedDoc>false</SharedDoc>
  <Template>Normal.dotm</Template>
  <TotalTime>4</TotalTime>
  <Words>363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Якубова</cp:lastModifiedBy>
  <cp:revision>13</cp:revision>
  <cp:lastPrinted>2025-12-05T02:59:00Z</cp:lastPrinted>
  <dcterms:created xsi:type="dcterms:W3CDTF">2025-08-21T09:20:00Z</dcterms:created>
  <dcterms:modified xsi:type="dcterms:W3CDTF">2025-12-02T05:30:00Z</dcterms:modified>
</cp:coreProperties>
</file>